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autoSpaceDN/>
        <w:adjustRightInd/>
        <w:spacing w:line="580" w:lineRule="exact"/>
        <w:ind w:firstLine="0" w:firstLineChars="0"/>
        <w:jc w:val="center"/>
        <w:textAlignment w:val="auto"/>
        <w:rPr>
          <w:rFonts w:hint="eastAsia" w:ascii="Times New Roman" w:hAnsi="Times New Roman" w:eastAsia="方正小标宋简体"/>
          <w:color w:val="auto"/>
          <w:szCs w:val="32"/>
          <w:lang w:eastAsia="zh-CN"/>
        </w:rPr>
      </w:pPr>
      <w:r>
        <w:rPr>
          <w:rFonts w:hint="eastAsia" w:ascii="Times New Roman" w:hAnsi="Times New Roman" w:eastAsia="方正小标宋简体"/>
          <w:color w:val="auto"/>
          <w:szCs w:val="32"/>
        </w:rPr>
        <w:t>第一类</w:t>
      </w:r>
      <w:r>
        <w:rPr>
          <w:rFonts w:ascii="Times New Roman" w:hAnsi="Times New Roman" w:eastAsia="方正小标宋简体"/>
          <w:color w:val="auto"/>
          <w:szCs w:val="32"/>
        </w:rPr>
        <w:t xml:space="preserve"> </w:t>
      </w:r>
      <w:r>
        <w:rPr>
          <w:rFonts w:hint="eastAsia" w:ascii="Times New Roman" w:hAnsi="Times New Roman" w:eastAsia="方正小标宋简体"/>
          <w:color w:val="auto"/>
          <w:szCs w:val="32"/>
        </w:rPr>
        <w:t>食品经营许可现场核查</w:t>
      </w:r>
      <w:r>
        <w:rPr>
          <w:rFonts w:hint="eastAsia" w:ascii="Times New Roman" w:hAnsi="Times New Roman" w:eastAsia="方正小标宋简体"/>
          <w:color w:val="auto"/>
          <w:szCs w:val="32"/>
          <w:lang w:eastAsia="zh-CN"/>
        </w:rPr>
        <w:t>内容</w:t>
      </w:r>
    </w:p>
    <w:p>
      <w:pPr>
        <w:keepNext w:val="0"/>
        <w:keepLines w:val="0"/>
        <w:pageBreakBefore w:val="0"/>
        <w:widowControl w:val="0"/>
        <w:tabs>
          <w:tab w:val="left" w:pos="3420"/>
          <w:tab w:val="left" w:pos="1062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jc w:val="center"/>
        <w:textAlignment w:val="baseline"/>
        <w:rPr>
          <w:rFonts w:hint="eastAsia" w:ascii="Times New Roman" w:hAnsi="Times New Roman" w:eastAsia="楷体"/>
          <w:color w:val="auto"/>
          <w:szCs w:val="32"/>
        </w:rPr>
      </w:pPr>
      <w:r>
        <w:rPr>
          <w:rFonts w:hint="eastAsia" w:ascii="Times New Roman" w:hAnsi="Times New Roman" w:eastAsia="楷体"/>
          <w:color w:val="auto"/>
          <w:szCs w:val="32"/>
        </w:rPr>
        <w:t>（适用于食品销售经营者）</w:t>
      </w:r>
    </w:p>
    <w:tbl>
      <w:tblPr>
        <w:tblStyle w:val="6"/>
        <w:tblW w:w="9621" w:type="dxa"/>
        <w:tblInd w:w="-54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48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74" w:hRule="atLeast"/>
        </w:trPr>
        <w:tc>
          <w:tcPr>
            <w:tcW w:w="4815" w:type="dxa"/>
            <w:vAlign w:val="center"/>
          </w:tcPr>
          <w:p>
            <w:pPr>
              <w:snapToGrid w:val="0"/>
              <w:spacing w:line="30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4"/>
              </w:rPr>
              <w:t>经营者名称：</w:t>
            </w:r>
            <w:r>
              <w:rPr>
                <w:rFonts w:hint="eastAsia" w:ascii="仿宋_GB2312" w:hAnsi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4806" w:type="dxa"/>
            <w:vAlign w:val="center"/>
          </w:tcPr>
          <w:p>
            <w:pPr>
              <w:snapToGrid w:val="0"/>
              <w:spacing w:line="300" w:lineRule="exact"/>
              <w:jc w:val="both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4"/>
              </w:rPr>
              <w:t>地址：</w:t>
            </w:r>
            <w:r>
              <w:rPr>
                <w:rFonts w:hint="eastAsia" w:ascii="仿宋_GB2312" w:hAnsi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815" w:type="dxa"/>
            <w:vAlign w:val="center"/>
          </w:tcPr>
          <w:p>
            <w:pPr>
              <w:snapToGrid w:val="0"/>
              <w:spacing w:line="30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4"/>
              </w:rPr>
              <w:t xml:space="preserve">申请经营业态: </w:t>
            </w:r>
            <w:r>
              <w:rPr>
                <w:rFonts w:hint="eastAsia" w:ascii="仿宋_GB2312" w:hAnsi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4806" w:type="dxa"/>
            <w:vAlign w:val="center"/>
          </w:tcPr>
          <w:p>
            <w:pPr>
              <w:snapToGrid w:val="0"/>
              <w:spacing w:line="30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4"/>
              </w:rPr>
              <w:t>申请经营项目：</w:t>
            </w:r>
            <w:r>
              <w:rPr>
                <w:rFonts w:hint="eastAsia" w:ascii="仿宋_GB2312" w:hAnsi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bookmarkStart w:id="0" w:name="_GoBack"/>
            <w:bookmarkEnd w:id="0"/>
          </w:p>
        </w:tc>
      </w:tr>
    </w:tbl>
    <w:tbl>
      <w:tblPr>
        <w:tblStyle w:val="5"/>
        <w:tblpPr w:leftFromText="180" w:rightFromText="180" w:vertAnchor="text" w:horzAnchor="margin" w:tblpXSpec="center" w:tblpY="225"/>
        <w:tblW w:w="96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5516"/>
        <w:gridCol w:w="585"/>
        <w:gridCol w:w="703"/>
        <w:gridCol w:w="899"/>
        <w:gridCol w:w="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1160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  <w:t>核查内容</w:t>
            </w:r>
          </w:p>
        </w:tc>
        <w:tc>
          <w:tcPr>
            <w:tcW w:w="551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  <w:t>核查和评价方法</w:t>
            </w:r>
          </w:p>
        </w:tc>
        <w:tc>
          <w:tcPr>
            <w:tcW w:w="585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lang w:eastAsia="zh-CN"/>
              </w:rPr>
              <w:t>序</w:t>
            </w: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  <w:t>号</w:t>
            </w:r>
          </w:p>
        </w:tc>
        <w:tc>
          <w:tcPr>
            <w:tcW w:w="2395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  <w:t>结果判定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160" w:type="dxa"/>
            <w:vMerge w:val="continue"/>
            <w:noWrap w:val="0"/>
            <w:vAlign w:val="center"/>
          </w:tcPr>
          <w:p>
            <w:pPr>
              <w:spacing w:line="340" w:lineRule="exact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</w:pPr>
          </w:p>
        </w:tc>
        <w:tc>
          <w:tcPr>
            <w:tcW w:w="5516" w:type="dxa"/>
            <w:vMerge w:val="continue"/>
            <w:noWrap w:val="0"/>
            <w:vAlign w:val="center"/>
          </w:tcPr>
          <w:p>
            <w:pPr>
              <w:spacing w:line="340" w:lineRule="exact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</w:pPr>
          </w:p>
        </w:tc>
        <w:tc>
          <w:tcPr>
            <w:tcW w:w="585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</w:pPr>
          </w:p>
        </w:tc>
        <w:tc>
          <w:tcPr>
            <w:tcW w:w="703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  <w:t>符合</w:t>
            </w:r>
          </w:p>
        </w:tc>
        <w:tc>
          <w:tcPr>
            <w:tcW w:w="89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pacing w:val="-6"/>
                <w:sz w:val="24"/>
              </w:rPr>
              <w:t>不符合</w:t>
            </w:r>
          </w:p>
        </w:tc>
        <w:tc>
          <w:tcPr>
            <w:tcW w:w="793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  <w:t>合理</w:t>
            </w:r>
          </w:p>
          <w:p>
            <w:pPr>
              <w:spacing w:line="34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  <w:t>缺项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2" w:hRule="atLeast"/>
          <w:jc w:val="center"/>
        </w:trPr>
        <w:tc>
          <w:tcPr>
            <w:tcW w:w="116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  <w:t>通用要求</w:t>
            </w:r>
          </w:p>
        </w:tc>
        <w:tc>
          <w:tcPr>
            <w:tcW w:w="55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  <w:t>食品销售场所和贮存场所与生活区分隔。食品销售场所和贮存场所环境整洁，有良好的通风、排气、采光、照明条件，避免日光直接照射。</w:t>
            </w:r>
            <w:r>
              <w:rPr>
                <w:rFonts w:hint="eastAsia" w:ascii="Times New Roman" w:hAnsi="Times New Roman" w:cs="仿宋_GB2312"/>
                <w:color w:val="auto"/>
                <w:sz w:val="24"/>
                <w:lang w:eastAsia="zh-CN"/>
              </w:rPr>
              <w:t>地面硬化，易于清洁消毒。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  <w:lang w:val="en-US" w:eastAsia="zh-CN"/>
              </w:rPr>
              <w:t>1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2" w:hRule="atLeast"/>
          <w:jc w:val="center"/>
        </w:trPr>
        <w:tc>
          <w:tcPr>
            <w:tcW w:w="116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55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napToGrid/>
                <w:color w:val="auto"/>
                <w:kern w:val="2"/>
                <w:sz w:val="24"/>
              </w:rPr>
              <w:t>食品经营区域与非食品经营区域</w:t>
            </w:r>
            <w:r>
              <w:rPr>
                <w:rFonts w:hint="eastAsia" w:ascii="Times New Roman" w:hAnsi="Times New Roman" w:cs="仿宋_GB2312"/>
                <w:snapToGrid/>
                <w:color w:val="auto"/>
                <w:kern w:val="2"/>
                <w:sz w:val="24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仿宋_GB2312"/>
                <w:snapToGrid/>
                <w:color w:val="auto"/>
                <w:kern w:val="2"/>
                <w:sz w:val="24"/>
              </w:rPr>
              <w:t>生食区域与熟食区域</w:t>
            </w:r>
            <w:r>
              <w:rPr>
                <w:rFonts w:hint="eastAsia" w:ascii="Times New Roman" w:hAnsi="Times New Roman" w:cs="仿宋_GB2312"/>
                <w:snapToGrid/>
                <w:color w:val="auto"/>
                <w:kern w:val="2"/>
                <w:sz w:val="24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仿宋_GB2312"/>
                <w:snapToGrid/>
                <w:color w:val="auto"/>
                <w:kern w:val="2"/>
                <w:sz w:val="24"/>
              </w:rPr>
              <w:t>待加工食品区域与直接入口食品区域</w:t>
            </w:r>
            <w:r>
              <w:rPr>
                <w:rFonts w:hint="eastAsia" w:ascii="Times New Roman" w:hAnsi="Times New Roman" w:cs="仿宋_GB2312"/>
                <w:snapToGrid/>
                <w:color w:val="auto"/>
                <w:kern w:val="2"/>
                <w:sz w:val="24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仿宋_GB2312"/>
                <w:snapToGrid/>
                <w:color w:val="auto"/>
                <w:kern w:val="2"/>
                <w:sz w:val="24"/>
              </w:rPr>
              <w:t>水产品区域与其他食</w:t>
            </w:r>
            <w:r>
              <w:rPr>
                <w:rFonts w:hint="eastAsia" w:ascii="Times New Roman" w:hAnsi="Times New Roman" w:cs="仿宋_GB2312"/>
                <w:snapToGrid/>
                <w:color w:val="auto"/>
                <w:kern w:val="2"/>
                <w:sz w:val="24"/>
                <w:lang w:eastAsia="zh-CN"/>
              </w:rPr>
              <w:t>品</w:t>
            </w:r>
            <w:r>
              <w:rPr>
                <w:rFonts w:hint="eastAsia" w:ascii="Times New Roman" w:hAnsi="Times New Roman" w:eastAsia="仿宋_GB2312" w:cs="仿宋_GB2312"/>
                <w:snapToGrid/>
                <w:color w:val="auto"/>
                <w:kern w:val="2"/>
                <w:sz w:val="24"/>
              </w:rPr>
              <w:t>区域分开。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Chars="0"/>
              <w:jc w:val="center"/>
              <w:textAlignment w:val="auto"/>
              <w:rPr>
                <w:rFonts w:hint="default" w:ascii="Times New Roman" w:hAnsi="Times New Roman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  <w:lang w:val="en-US" w:eastAsia="zh-CN"/>
              </w:rPr>
              <w:t>2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16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55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  <w:t>散装食品区域相对独立或有隔离措施。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16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55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lang w:val="zh-CN"/>
              </w:rPr>
              <w:t>销售有温度控制要求的食品，配备与经营品种、数量相适应的冷藏、冷冻设备，设备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  <w:t>有温度控制和监测装置，建立定期校准制度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lang w:val="zh-CN"/>
              </w:rPr>
              <w:t>。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  <w:lang w:val="en-US" w:eastAsia="zh-CN"/>
              </w:rPr>
              <w:t>4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2" w:hRule="atLeast"/>
          <w:jc w:val="center"/>
        </w:trPr>
        <w:tc>
          <w:tcPr>
            <w:tcW w:w="116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55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kern w:val="2"/>
                <w:sz w:val="24"/>
                <w:szCs w:val="24"/>
                <w:lang w:val="zh-CN" w:eastAsia="zh-CN" w:bidi="ar-SA"/>
              </w:rPr>
              <w:t>食品贮存设专门区域，</w:t>
            </w:r>
            <w:r>
              <w:rPr>
                <w:rFonts w:hint="eastAsia" w:ascii="Times New Roman" w:hAnsi="Times New Roman" w:cs="仿宋_GB2312"/>
                <w:color w:val="auto"/>
                <w:kern w:val="2"/>
                <w:sz w:val="24"/>
                <w:szCs w:val="24"/>
                <w:lang w:val="zh-CN" w:eastAsia="zh-CN" w:bidi="ar-SA"/>
              </w:rPr>
              <w:t>食品与非食品、生食与熟食、散装食品与其他食品</w:t>
            </w:r>
            <w:r>
              <w:rPr>
                <w:rFonts w:hint="eastAsia" w:ascii="Times New Roman" w:hAnsi="Times New Roman" w:eastAsia="仿宋_GB2312" w:cs="仿宋_GB2312"/>
                <w:color w:val="auto"/>
                <w:kern w:val="2"/>
                <w:sz w:val="24"/>
                <w:szCs w:val="24"/>
                <w:lang w:val="zh-CN" w:eastAsia="zh-CN" w:bidi="ar-SA"/>
              </w:rPr>
              <w:t>有明显的区分</w:t>
            </w:r>
            <w:r>
              <w:rPr>
                <w:rFonts w:hint="eastAsia" w:ascii="Times New Roman" w:hAnsi="Times New Roman" w:cs="仿宋_GB2312"/>
                <w:color w:val="auto"/>
                <w:kern w:val="2"/>
                <w:sz w:val="24"/>
                <w:szCs w:val="24"/>
                <w:lang w:val="zh-CN" w:eastAsia="zh-CN" w:bidi="ar-SA"/>
              </w:rPr>
              <w:t>区域或</w:t>
            </w:r>
            <w:r>
              <w:rPr>
                <w:rFonts w:hint="eastAsia" w:ascii="Times New Roman" w:hAnsi="Times New Roman" w:eastAsia="仿宋_GB2312" w:cs="仿宋_GB2312"/>
                <w:color w:val="auto"/>
                <w:kern w:val="2"/>
                <w:sz w:val="24"/>
                <w:szCs w:val="24"/>
                <w:lang w:val="zh-CN" w:eastAsia="zh-CN" w:bidi="ar-SA"/>
              </w:rPr>
              <w:t>标识，与有毒有害物品分库存放，食品贮存时能与墙壁、地面保持适当距离。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kern w:val="2"/>
                <w:sz w:val="24"/>
                <w:szCs w:val="24"/>
                <w:lang w:val="zh-CN" w:eastAsia="zh-CN" w:bidi="ar-SA"/>
              </w:rPr>
            </w:pPr>
          </w:p>
        </w:tc>
        <w:tc>
          <w:tcPr>
            <w:tcW w:w="8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kern w:val="2"/>
                <w:sz w:val="24"/>
                <w:szCs w:val="24"/>
                <w:lang w:val="zh-CN" w:eastAsia="zh-CN" w:bidi="ar-SA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kern w:val="2"/>
                <w:sz w:val="24"/>
                <w:szCs w:val="24"/>
                <w:lang w:val="zh-CN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6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55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kern w:val="2"/>
                <w:sz w:val="24"/>
                <w:szCs w:val="24"/>
                <w:lang w:val="zh-CN" w:eastAsia="zh-CN" w:bidi="ar-SA"/>
              </w:rPr>
              <w:t>经营者有食品安全自查、食品安全追溯、从业人员健康管理制度。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Chars="0"/>
              <w:jc w:val="center"/>
              <w:textAlignment w:val="auto"/>
              <w:rPr>
                <w:rFonts w:hint="default" w:ascii="Times New Roman" w:hAnsi="Times New Roman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  <w:lang w:val="en-US" w:eastAsia="zh-CN"/>
              </w:rPr>
              <w:t>6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8" w:hRule="atLeast"/>
          <w:jc w:val="center"/>
        </w:trPr>
        <w:tc>
          <w:tcPr>
            <w:tcW w:w="116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55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/>
                <w:lang w:val="zh-CN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kern w:val="2"/>
                <w:sz w:val="24"/>
                <w:szCs w:val="24"/>
                <w:lang w:val="zh-CN" w:eastAsia="zh-CN" w:bidi="ar-SA"/>
              </w:rPr>
              <w:t>经营者为企业的，还应有食品安全风险管控清单，有日管控、周排查、月调度制度，人员培训和考核制度，进货查验记录制度，场所及设施清洗清毒和维修保养制度，食品贮存管理制度，废弃物处置制度，不合格食品处置制度，食品安全事故处置方案以及食品经营过程控制制度等制度</w:t>
            </w:r>
            <w:r>
              <w:rPr>
                <w:rFonts w:hint="eastAsia" w:ascii="Times New Roman" w:hAnsi="Times New Roman" w:cs="仿宋_GB2312"/>
                <w:color w:val="auto"/>
                <w:kern w:val="2"/>
                <w:sz w:val="24"/>
                <w:szCs w:val="24"/>
                <w:lang w:val="zh-CN" w:eastAsia="zh-CN" w:bidi="ar-SA"/>
              </w:rPr>
              <w:t>。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Chars="0"/>
              <w:jc w:val="center"/>
              <w:textAlignment w:val="auto"/>
              <w:rPr>
                <w:rFonts w:hint="default" w:ascii="Times New Roman" w:hAnsi="Times New Roman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  <w:lang w:val="en-US" w:eastAsia="zh-CN"/>
              </w:rPr>
              <w:t>7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116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55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/>
                <w:lang w:val="zh-CN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kern w:val="2"/>
                <w:sz w:val="24"/>
                <w:szCs w:val="24"/>
                <w:lang w:val="zh-CN" w:eastAsia="zh-CN" w:bidi="ar-SA"/>
              </w:rPr>
              <w:t>食品批发企业，还应有食品销售记录制度。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Chars="0"/>
              <w:jc w:val="center"/>
              <w:textAlignment w:val="auto"/>
              <w:rPr>
                <w:rFonts w:hint="default" w:ascii="Times New Roman" w:hAnsi="Times New Roman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  <w:lang w:val="en-US" w:eastAsia="zh-CN"/>
              </w:rPr>
              <w:t>8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8" w:hRule="atLeast"/>
          <w:jc w:val="center"/>
        </w:trPr>
        <w:tc>
          <w:tcPr>
            <w:tcW w:w="116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lang w:val="zh-CN"/>
              </w:rPr>
              <w:t>销售</w:t>
            </w:r>
            <w:r>
              <w:rPr>
                <w:rFonts w:hint="eastAsia" w:ascii="Times New Roman" w:hAnsi="Times New Roman" w:cs="仿宋_GB2312"/>
                <w:color w:val="auto"/>
                <w:sz w:val="24"/>
                <w:lang w:val="zh-CN"/>
              </w:rPr>
              <w:t>直接入口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lang w:val="zh-CN"/>
              </w:rPr>
              <w:t>散装</w:t>
            </w:r>
            <w:r>
              <w:rPr>
                <w:rFonts w:hint="eastAsia" w:ascii="Times New Roman" w:hAnsi="Times New Roman" w:cs="仿宋_GB2312"/>
                <w:color w:val="auto"/>
                <w:sz w:val="24"/>
                <w:lang w:val="zh-CN"/>
              </w:rPr>
              <w:t>食品</w:t>
            </w:r>
          </w:p>
        </w:tc>
        <w:tc>
          <w:tcPr>
            <w:tcW w:w="55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仿宋_GB2312"/>
                <w:color w:val="auto"/>
                <w:sz w:val="24"/>
                <w:lang w:val="zh-CN"/>
              </w:rPr>
              <w:t>销售、贮存区域应设置防腐、防尘、防蝇、防鼠、防虫以及防污染等设施设备，使用有效覆盖或隔离容器盛放食品。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  <w:lang w:val="en-US" w:eastAsia="zh-CN"/>
              </w:rPr>
              <w:t>9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16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55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  <w:lang w:val="zh-CN"/>
              </w:rPr>
              <w:t>有存放</w:t>
            </w:r>
            <w:r>
              <w:rPr>
                <w:rFonts w:hint="default" w:ascii="Times New Roman" w:hAnsi="Times New Roman" w:eastAsia="仿宋_GB2312" w:cs="仿宋_GB2312"/>
                <w:color w:val="auto"/>
                <w:sz w:val="24"/>
                <w:lang w:val="zh-CN"/>
              </w:rPr>
              <w:t>售货工具</w:t>
            </w:r>
            <w:r>
              <w:rPr>
                <w:rFonts w:hint="eastAsia" w:ascii="Times New Roman" w:hAnsi="Times New Roman" w:cs="仿宋_GB2312"/>
                <w:color w:val="auto"/>
                <w:sz w:val="24"/>
                <w:lang w:val="zh-CN"/>
              </w:rPr>
              <w:t>的</w:t>
            </w:r>
            <w:r>
              <w:rPr>
                <w:rFonts w:hint="default" w:ascii="Times New Roman" w:hAnsi="Times New Roman" w:eastAsia="仿宋_GB2312" w:cs="仿宋_GB2312"/>
                <w:color w:val="auto"/>
                <w:sz w:val="24"/>
                <w:lang w:val="zh-CN"/>
              </w:rPr>
              <w:t>防尘、防蝇、防污染专用密闭保洁柜或专用的散装食品售货工具存放容器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lang w:val="zh-CN"/>
              </w:rPr>
              <w:t>。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Chars="0"/>
              <w:jc w:val="center"/>
              <w:textAlignment w:val="auto"/>
              <w:rPr>
                <w:rFonts w:hint="default" w:ascii="Times New Roman" w:hAnsi="Times New Roman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  <w:lang w:val="en-US" w:eastAsia="zh-CN"/>
              </w:rPr>
              <w:t>10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16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default" w:ascii="Times New Roman" w:hAnsi="Times New Roman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eastAsia" w:ascii="Times New Roman" w:hAnsi="Times New Roman" w:cs="仿宋_GB2312"/>
                <w:color w:val="auto"/>
                <w:sz w:val="24"/>
                <w:lang w:eastAsia="zh-CN"/>
              </w:rPr>
              <w:t>销售散装熟食</w:t>
            </w:r>
          </w:p>
        </w:tc>
        <w:tc>
          <w:tcPr>
            <w:tcW w:w="55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  <w:lang w:eastAsia="zh-CN"/>
              </w:rPr>
              <w:t>经营场所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距离粪坑、污水池、暴露垃圾场（站）、旱厕等污染源25m以上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Chars="0"/>
              <w:jc w:val="center"/>
              <w:textAlignment w:val="auto"/>
              <w:rPr>
                <w:rFonts w:hint="default" w:ascii="Times New Roman" w:hAnsi="Times New Roman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  <w:lang w:val="en-US" w:eastAsia="zh-CN"/>
              </w:rPr>
              <w:t>11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16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cs="仿宋_GB2312"/>
                <w:color w:val="auto"/>
                <w:sz w:val="24"/>
                <w:lang w:val="en-US" w:eastAsia="zh-CN"/>
              </w:rPr>
            </w:pPr>
          </w:p>
        </w:tc>
        <w:tc>
          <w:tcPr>
            <w:tcW w:w="55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lang w:val="zh-CN"/>
              </w:rPr>
              <w:t>切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  <w:t>割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lang w:val="zh-CN"/>
              </w:rPr>
              <w:t>散装熟食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  <w:t>的，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lang w:val="zh-CN"/>
              </w:rPr>
              <w:t>有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  <w:t>专间或专区</w:t>
            </w:r>
            <w:r>
              <w:rPr>
                <w:rFonts w:hint="eastAsia" w:ascii="Times New Roman" w:hAnsi="Times New Roman" w:cs="仿宋_GB2312"/>
                <w:color w:val="auto"/>
                <w:sz w:val="24"/>
                <w:lang w:eastAsia="zh-CN"/>
              </w:rPr>
              <w:t>。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Chars="0"/>
              <w:jc w:val="center"/>
              <w:textAlignment w:val="auto"/>
              <w:rPr>
                <w:rFonts w:hint="default" w:ascii="Times New Roman" w:hAnsi="Times New Roman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  <w:lang w:val="en-US" w:eastAsia="zh-CN"/>
              </w:rPr>
              <w:t>12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  <w:jc w:val="center"/>
        </w:trPr>
        <w:tc>
          <w:tcPr>
            <w:tcW w:w="116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cs="仿宋_GB2312"/>
                <w:color w:val="auto"/>
                <w:sz w:val="24"/>
                <w:lang w:eastAsia="zh-CN"/>
              </w:rPr>
            </w:pPr>
          </w:p>
        </w:tc>
        <w:tc>
          <w:tcPr>
            <w:tcW w:w="55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  <w:t>不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lang w:val="zh-CN"/>
              </w:rPr>
              <w:t>切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  <w:t>割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lang w:val="zh-CN"/>
              </w:rPr>
              <w:t>散装熟食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  <w:t>的，有专柜或专区或专间</w:t>
            </w:r>
            <w:r>
              <w:rPr>
                <w:rFonts w:hint="eastAsia" w:ascii="Times New Roman" w:hAnsi="Times New Roman" w:cs="仿宋_GB2312"/>
                <w:color w:val="auto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  <w:t>专柜有防污染设施，设置可开闭式食品传递设施。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Chars="0"/>
              <w:jc w:val="center"/>
              <w:textAlignment w:val="auto"/>
              <w:rPr>
                <w:rFonts w:hint="default" w:ascii="Times New Roman" w:hAnsi="Times New Roman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  <w:lang w:val="en-US" w:eastAsia="zh-CN"/>
              </w:rPr>
              <w:t>13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  <w:jc w:val="center"/>
        </w:trPr>
        <w:tc>
          <w:tcPr>
            <w:tcW w:w="116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  <w:lang w:val="en-US" w:eastAsia="zh-CN"/>
              </w:rPr>
              <w:t>4.熟食专间</w:t>
            </w:r>
          </w:p>
        </w:tc>
        <w:tc>
          <w:tcPr>
            <w:tcW w:w="55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专间入口处设置独立的洗手、消毒、干手、更衣设施，水龙头采用非手动式。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16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default" w:ascii="Times New Roman" w:hAnsi="Times New Roman" w:eastAsia="仿宋_GB2312" w:cs="仿宋_GB2312"/>
                <w:color w:val="auto"/>
                <w:sz w:val="24"/>
                <w:lang w:val="en-US" w:eastAsia="zh-CN"/>
              </w:rPr>
            </w:pPr>
          </w:p>
        </w:tc>
        <w:tc>
          <w:tcPr>
            <w:tcW w:w="55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专间内无明沟，地漏带水封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专间墙裙铺设到顶。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5" w:hRule="atLeast"/>
          <w:jc w:val="center"/>
        </w:trPr>
        <w:tc>
          <w:tcPr>
            <w:tcW w:w="116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eastAsia="zh-CN"/>
              </w:rPr>
            </w:pPr>
          </w:p>
        </w:tc>
        <w:tc>
          <w:tcPr>
            <w:tcW w:w="55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设置可开闭式食品传递窗口，无其他窗。专间门、窗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能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闭合严密，门能自动关闭。</w:t>
            </w:r>
            <w:r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专间内外运送食品的窗口应专用，大小以可通过运送食品的容器为准。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0" w:hRule="atLeast"/>
          <w:jc w:val="center"/>
        </w:trPr>
        <w:tc>
          <w:tcPr>
            <w:tcW w:w="116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eastAsia="zh-CN"/>
              </w:rPr>
            </w:pPr>
          </w:p>
        </w:tc>
        <w:tc>
          <w:tcPr>
            <w:tcW w:w="55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专间内有独立空调设施、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专用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工用具清洗消毒设施、专用冷藏设施和与专间面积相适应的空气消毒设施。特殊情况只能使用中央空调的，在专间空调出风口安装空气净化过滤装置。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  <w:jc w:val="center"/>
        </w:trPr>
        <w:tc>
          <w:tcPr>
            <w:tcW w:w="116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eastAsia="zh-CN"/>
              </w:rPr>
            </w:pPr>
          </w:p>
        </w:tc>
        <w:tc>
          <w:tcPr>
            <w:tcW w:w="55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专间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内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水龙头、废弃物容器盖子采用非手动式。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16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eastAsia="zh-CN"/>
              </w:rPr>
            </w:pPr>
          </w:p>
        </w:tc>
        <w:tc>
          <w:tcPr>
            <w:tcW w:w="55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配备专用的食品容器、工用具、设备和清洁工具。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116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  <w:lang w:val="en-US" w:eastAsia="zh-CN"/>
              </w:rPr>
              <w:t>5.熟食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专用操作区</w:t>
            </w:r>
          </w:p>
        </w:tc>
        <w:tc>
          <w:tcPr>
            <w:tcW w:w="55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与其他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场所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相对独立，专区专用，配备专用的食品容器、工用具、设备和清洁工具。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116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eastAsia="zh-CN"/>
              </w:rPr>
            </w:pPr>
          </w:p>
        </w:tc>
        <w:tc>
          <w:tcPr>
            <w:tcW w:w="55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地面无明沟，地漏带水封。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  <w:jc w:val="center"/>
        </w:trPr>
        <w:tc>
          <w:tcPr>
            <w:tcW w:w="116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eastAsia="zh-CN"/>
              </w:rPr>
            </w:pPr>
          </w:p>
        </w:tc>
        <w:tc>
          <w:tcPr>
            <w:tcW w:w="5516" w:type="dxa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入口处设置洗手、干手、消毒设施或用品，水龙头采用非手动式。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116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eastAsia="zh-CN"/>
              </w:rPr>
            </w:pPr>
          </w:p>
        </w:tc>
        <w:tc>
          <w:tcPr>
            <w:tcW w:w="5516" w:type="dxa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必要时，配有工具清洗消毒设施和专用冷藏设施。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11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  <w:lang w:val="en-US" w:eastAsia="zh-CN"/>
              </w:rPr>
              <w:t>6.</w:t>
            </w:r>
            <w:r>
              <w:rPr>
                <w:rFonts w:hint="eastAsia" w:ascii="Times New Roman" w:hAnsi="Times New Roman" w:cs="仿宋_GB2312"/>
                <w:color w:val="auto"/>
                <w:sz w:val="24"/>
                <w:lang w:eastAsia="zh-CN"/>
              </w:rPr>
              <w:t>提供餐饮服务</w:t>
            </w:r>
          </w:p>
        </w:tc>
        <w:tc>
          <w:tcPr>
            <w:tcW w:w="5516" w:type="dxa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auto"/>
                <w:sz w:val="24"/>
              </w:rPr>
              <w:t>申请</w:t>
            </w:r>
            <w:r>
              <w:rPr>
                <w:rFonts w:hint="eastAsia" w:ascii="Times New Roman" w:hAnsi="Times New Roman" w:eastAsia="仿宋_GB2312" w:cs="仿宋_GB2312"/>
                <w:b w:val="0"/>
                <w:color w:val="auto"/>
                <w:sz w:val="24"/>
                <w:lang w:eastAsia="zh-CN"/>
              </w:rPr>
              <w:t>餐饮服务</w:t>
            </w:r>
            <w:r>
              <w:rPr>
                <w:rFonts w:hint="eastAsia" w:ascii="Times New Roman" w:hAnsi="Times New Roman" w:eastAsia="仿宋_GB2312" w:cs="仿宋_GB2312"/>
                <w:b w:val="0"/>
                <w:color w:val="auto"/>
                <w:sz w:val="24"/>
              </w:rPr>
              <w:t>经营项目的，</w:t>
            </w:r>
            <w:r>
              <w:rPr>
                <w:rFonts w:hint="eastAsia" w:ascii="Times New Roman" w:hAnsi="Times New Roman" w:eastAsia="仿宋_GB2312" w:cs="仿宋_GB2312"/>
                <w:b w:val="0"/>
                <w:color w:val="auto"/>
                <w:sz w:val="24"/>
                <w:lang w:eastAsia="zh-CN"/>
              </w:rPr>
              <w:t>应</w:t>
            </w:r>
            <w:r>
              <w:rPr>
                <w:rFonts w:hint="eastAsia" w:ascii="Times New Roman" w:hAnsi="Times New Roman" w:eastAsia="仿宋_GB2312" w:cs="仿宋_GB2312"/>
                <w:b w:val="0"/>
                <w:color w:val="auto"/>
                <w:sz w:val="24"/>
              </w:rPr>
              <w:t>同时符合</w:t>
            </w:r>
            <w:r>
              <w:rPr>
                <w:rFonts w:hint="eastAsia" w:ascii="Times New Roman" w:hAnsi="Times New Roman" w:eastAsia="仿宋_GB2312" w:cs="仿宋_GB2312"/>
                <w:b w:val="0"/>
                <w:color w:val="auto"/>
                <w:sz w:val="24"/>
                <w:lang w:eastAsia="zh-CN"/>
              </w:rPr>
              <w:t>相应餐饮服务经营项目</w:t>
            </w:r>
            <w:r>
              <w:rPr>
                <w:rFonts w:hint="eastAsia" w:ascii="Times New Roman" w:hAnsi="Times New Roman" w:eastAsia="仿宋_GB2312" w:cs="仿宋_GB2312"/>
                <w:b w:val="0"/>
                <w:color w:val="auto"/>
                <w:sz w:val="24"/>
              </w:rPr>
              <w:t>核查内容的</w:t>
            </w:r>
            <w:r>
              <w:rPr>
                <w:rFonts w:hint="eastAsia" w:ascii="Times New Roman" w:hAnsi="Times New Roman" w:eastAsia="仿宋_GB2312" w:cs="仿宋_GB2312"/>
                <w:b w:val="0"/>
                <w:color w:val="auto"/>
                <w:sz w:val="24"/>
                <w:lang w:eastAsia="zh-CN"/>
              </w:rPr>
              <w:t>规定</w:t>
            </w:r>
            <w:r>
              <w:rPr>
                <w:rFonts w:hint="eastAsia" w:ascii="Times New Roman" w:hAnsi="Times New Roman" w:eastAsia="仿宋_GB2312" w:cs="仿宋_GB2312"/>
                <w:b w:val="0"/>
                <w:color w:val="auto"/>
                <w:sz w:val="24"/>
              </w:rPr>
              <w:t>。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  <w:lang w:val="en-US" w:eastAsia="zh-CN"/>
              </w:rPr>
              <w:t>24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9656" w:type="dxa"/>
            <w:gridSpan w:val="6"/>
            <w:noWrap w:val="0"/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核查意见</w:t>
            </w:r>
          </w:p>
          <w:p>
            <w:pPr>
              <w:widowControl/>
              <w:spacing w:line="340" w:lineRule="exact"/>
              <w:ind w:firstLine="48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  <w:p>
            <w:pPr>
              <w:widowControl/>
              <w:spacing w:line="340" w:lineRule="exact"/>
              <w:ind w:firstLine="480" w:firstLineChars="200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局（所）核查人员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根据《中华人民共和国食品安全法》等有关法律法规的规定，对该单位的食品经营场所进行了现场核查，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核查意见如下：</w:t>
            </w:r>
          </w:p>
          <w:p>
            <w:pPr>
              <w:widowControl/>
              <w:spacing w:line="340" w:lineRule="exact"/>
              <w:ind w:firstLine="482" w:firstLineChars="200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>
            <w:pPr>
              <w:widowControl/>
              <w:spacing w:line="340" w:lineRule="exact"/>
              <w:ind w:firstLine="482" w:firstLineChars="200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□通过　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 xml:space="preserve">     现场核查符合要求。</w:t>
            </w:r>
          </w:p>
          <w:p>
            <w:pPr>
              <w:widowControl/>
              <w:spacing w:line="340" w:lineRule="exact"/>
              <w:ind w:firstLine="482" w:firstLineChars="200"/>
              <w:textAlignment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 xml:space="preserve">□限期整改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 xml:space="preserve"> 对照核查内容和评价标准限期进行整改完善。</w:t>
            </w:r>
          </w:p>
          <w:p>
            <w:pPr>
              <w:widowControl/>
              <w:spacing w:line="340" w:lineRule="exact"/>
              <w:ind w:firstLine="482" w:firstLineChars="200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 xml:space="preserve">□不予通过 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退回整改后再行申请。</w:t>
            </w:r>
          </w:p>
          <w:p>
            <w:pPr>
              <w:widowControl/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/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核查人员签字：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年     月     日</w:t>
            </w:r>
          </w:p>
          <w:p>
            <w:pPr>
              <w:widowControl/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480" w:firstLineChars="20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食品经营单位负责人签字：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  月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C14A10"/>
    <w:rsid w:val="03780699"/>
    <w:rsid w:val="17C14A10"/>
    <w:rsid w:val="5BDA5BBF"/>
    <w:rsid w:val="7857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line="600" w:lineRule="exact"/>
      <w:outlineLvl w:val="2"/>
    </w:pPr>
    <w:rPr>
      <w:rFonts w:ascii="Calibri" w:hAnsi="Calibri" w:eastAsia="楷体_GB2312"/>
      <w:b/>
      <w:sz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ind w:firstLine="602" w:firstLineChars="200"/>
    </w:pPr>
    <w:rPr>
      <w:rFonts w:ascii="仿宋" w:hAnsi="仿宋" w:eastAsia="仿宋"/>
      <w:sz w:val="30"/>
      <w:szCs w:val="30"/>
    </w:rPr>
  </w:style>
  <w:style w:type="paragraph" w:styleId="4">
    <w:name w:val="Body Text"/>
    <w:basedOn w:val="1"/>
    <w:qFormat/>
    <w:uiPriority w:val="0"/>
    <w:rPr>
      <w:rFonts w:hint="eastAsia" w:ascii="Times New Roman" w:hAnsi="Times New Roman" w:eastAsia="宋体" w:cs="Times New Roman"/>
      <w:sz w:val="32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1304</Words>
  <Characters>1383</Characters>
  <Lines>0</Lines>
  <Paragraphs>0</Paragraphs>
  <TotalTime>0</TotalTime>
  <ScaleCrop>false</ScaleCrop>
  <LinksUpToDate>false</LinksUpToDate>
  <CharactersWithSpaces>1548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2025-03-05T09:39:00Z</dcterms:created>
  <dc:creator>刘力康</dc:creator>
  <cp:lastModifiedBy>邹清</cp:lastModifiedBy>
  <dcterms:modified xsi:type="dcterms:W3CDTF">2025-04-02T01:26:14Z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F650E8B9A13440D582AB76653F4E4F15_11</vt:lpwstr>
  </property>
  <property fmtid="{D5CDD505-2E9C-101B-9397-08002B2CF9AE}" pid="4" name="KSOTemplateDocerSaveRecord">
    <vt:lpwstr>eyJoZGlkIjoiMjcwZThkNTY2OTUyN2Y2YzA1NWE5NTg2YjcwOWNlZDgiLCJ1c2VySWQiOiI2MzE2NDAyOTIifQ==</vt:lpwstr>
  </property>
</Properties>
</file>